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38" w:rsidRPr="00143DB9" w:rsidRDefault="005B0D60" w:rsidP="008C60AA">
      <w:pPr>
        <w:pStyle w:val="Sinespaciado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143DB9">
        <w:rPr>
          <w:sz w:val="22"/>
          <w:szCs w:val="22"/>
        </w:rPr>
        <w:t xml:space="preserve">Bogotá, </w:t>
      </w:r>
      <w:r w:rsidR="00D030F4" w:rsidRPr="00D030F4">
        <w:rPr>
          <w:sz w:val="22"/>
          <w:szCs w:val="22"/>
        </w:rPr>
        <w:t>14</w:t>
      </w:r>
      <w:r w:rsidR="00C75238" w:rsidRPr="00143DB9">
        <w:rPr>
          <w:sz w:val="22"/>
          <w:szCs w:val="22"/>
        </w:rPr>
        <w:t xml:space="preserve"> de </w:t>
      </w:r>
      <w:r w:rsidR="003E3244">
        <w:rPr>
          <w:sz w:val="22"/>
          <w:szCs w:val="22"/>
        </w:rPr>
        <w:t>mayo</w:t>
      </w:r>
      <w:r w:rsidR="00187B5C" w:rsidRPr="00143DB9">
        <w:rPr>
          <w:sz w:val="22"/>
          <w:szCs w:val="22"/>
        </w:rPr>
        <w:t xml:space="preserve"> de 20</w:t>
      </w:r>
      <w:r w:rsidR="00006075" w:rsidRPr="00143DB9">
        <w:rPr>
          <w:sz w:val="22"/>
          <w:szCs w:val="22"/>
        </w:rPr>
        <w:t>20</w:t>
      </w:r>
    </w:p>
    <w:p w:rsidR="00C75238" w:rsidRPr="00143DB9" w:rsidRDefault="00C75238" w:rsidP="008C60AA">
      <w:pPr>
        <w:pStyle w:val="Sinespaciado"/>
        <w:spacing w:line="276" w:lineRule="auto"/>
        <w:jc w:val="both"/>
        <w:rPr>
          <w:sz w:val="22"/>
          <w:szCs w:val="22"/>
        </w:rPr>
      </w:pPr>
    </w:p>
    <w:p w:rsidR="00F260CA" w:rsidRPr="00143DB9" w:rsidRDefault="00F260CA" w:rsidP="008C60AA">
      <w:pPr>
        <w:pStyle w:val="Sinespaciado"/>
        <w:spacing w:line="276" w:lineRule="auto"/>
        <w:jc w:val="both"/>
        <w:rPr>
          <w:sz w:val="22"/>
          <w:szCs w:val="22"/>
        </w:rPr>
      </w:pPr>
    </w:p>
    <w:p w:rsidR="00C75238" w:rsidRPr="00143DB9" w:rsidRDefault="00C75238" w:rsidP="008C60AA">
      <w:pPr>
        <w:pStyle w:val="Sinespaciado"/>
        <w:spacing w:line="276" w:lineRule="auto"/>
        <w:jc w:val="both"/>
        <w:rPr>
          <w:sz w:val="22"/>
          <w:szCs w:val="22"/>
        </w:rPr>
      </w:pPr>
      <w:r w:rsidRPr="00143DB9">
        <w:rPr>
          <w:sz w:val="22"/>
          <w:szCs w:val="22"/>
        </w:rPr>
        <w:t>Honorable Representante</w:t>
      </w:r>
    </w:p>
    <w:p w:rsidR="00C75238" w:rsidRPr="00143DB9" w:rsidRDefault="00EB4D09" w:rsidP="008C60AA">
      <w:pPr>
        <w:pStyle w:val="Sinespaciado"/>
        <w:spacing w:line="276" w:lineRule="auto"/>
        <w:jc w:val="both"/>
        <w:rPr>
          <w:sz w:val="22"/>
          <w:szCs w:val="22"/>
        </w:rPr>
      </w:pPr>
      <w:r w:rsidRPr="00143DB9">
        <w:rPr>
          <w:sz w:val="22"/>
          <w:szCs w:val="22"/>
        </w:rPr>
        <w:t>AQUILEO MEDINA ARTEAGA</w:t>
      </w:r>
    </w:p>
    <w:p w:rsidR="00C75238" w:rsidRPr="00143DB9" w:rsidRDefault="00C75238" w:rsidP="008C60AA">
      <w:pPr>
        <w:pStyle w:val="Sinespaciado"/>
        <w:spacing w:line="276" w:lineRule="auto"/>
        <w:jc w:val="both"/>
        <w:rPr>
          <w:sz w:val="22"/>
          <w:szCs w:val="22"/>
        </w:rPr>
      </w:pPr>
      <w:r w:rsidRPr="00143DB9">
        <w:rPr>
          <w:sz w:val="22"/>
          <w:szCs w:val="22"/>
        </w:rPr>
        <w:t xml:space="preserve">Comisión </w:t>
      </w:r>
      <w:r w:rsidR="00D41053" w:rsidRPr="00143DB9">
        <w:rPr>
          <w:sz w:val="22"/>
          <w:szCs w:val="22"/>
        </w:rPr>
        <w:t>Sexta</w:t>
      </w:r>
      <w:r w:rsidRPr="00143DB9">
        <w:rPr>
          <w:sz w:val="22"/>
          <w:szCs w:val="22"/>
        </w:rPr>
        <w:t xml:space="preserve"> Constitucional Permanente</w:t>
      </w:r>
    </w:p>
    <w:p w:rsidR="00E958A9" w:rsidRPr="00143DB9" w:rsidRDefault="00E958A9" w:rsidP="008C60AA">
      <w:pPr>
        <w:pStyle w:val="Sinespaciado"/>
        <w:spacing w:line="276" w:lineRule="auto"/>
        <w:jc w:val="both"/>
        <w:rPr>
          <w:sz w:val="22"/>
          <w:szCs w:val="22"/>
        </w:rPr>
      </w:pPr>
    </w:p>
    <w:p w:rsidR="00E958A9" w:rsidRPr="00143DB9" w:rsidRDefault="00D41053" w:rsidP="008C60AA">
      <w:pPr>
        <w:pStyle w:val="Sinespaciado"/>
        <w:spacing w:line="276" w:lineRule="auto"/>
        <w:jc w:val="both"/>
        <w:rPr>
          <w:sz w:val="22"/>
          <w:szCs w:val="22"/>
        </w:rPr>
      </w:pPr>
      <w:r w:rsidRPr="00143DB9">
        <w:rPr>
          <w:sz w:val="22"/>
          <w:szCs w:val="22"/>
        </w:rPr>
        <w:t>DIANA MARCELA MORALES ROJAS</w:t>
      </w:r>
    </w:p>
    <w:p w:rsidR="00E958A9" w:rsidRPr="00143DB9" w:rsidRDefault="00E328BC" w:rsidP="008C60AA">
      <w:pPr>
        <w:pStyle w:val="Sinespaciado"/>
        <w:spacing w:line="276" w:lineRule="auto"/>
        <w:jc w:val="both"/>
        <w:rPr>
          <w:sz w:val="22"/>
          <w:szCs w:val="22"/>
        </w:rPr>
      </w:pPr>
      <w:r w:rsidRPr="00143DB9">
        <w:rPr>
          <w:sz w:val="22"/>
          <w:szCs w:val="22"/>
        </w:rPr>
        <w:t>Secretaria</w:t>
      </w:r>
      <w:r w:rsidR="00E958A9" w:rsidRPr="00143DB9">
        <w:rPr>
          <w:sz w:val="22"/>
          <w:szCs w:val="22"/>
        </w:rPr>
        <w:t xml:space="preserve"> Comisión </w:t>
      </w:r>
      <w:r w:rsidR="00D41053" w:rsidRPr="00143DB9">
        <w:rPr>
          <w:sz w:val="22"/>
          <w:szCs w:val="22"/>
        </w:rPr>
        <w:t>Sext</w:t>
      </w:r>
      <w:r w:rsidRPr="00143DB9">
        <w:rPr>
          <w:sz w:val="22"/>
          <w:szCs w:val="22"/>
        </w:rPr>
        <w:t>a Constitucional Permanente</w:t>
      </w:r>
    </w:p>
    <w:p w:rsidR="00E958A9" w:rsidRPr="00143DB9" w:rsidRDefault="00E958A9" w:rsidP="008C60AA">
      <w:pPr>
        <w:pStyle w:val="Sinespaciado"/>
        <w:spacing w:line="276" w:lineRule="auto"/>
        <w:jc w:val="both"/>
        <w:rPr>
          <w:sz w:val="22"/>
          <w:szCs w:val="22"/>
        </w:rPr>
      </w:pPr>
      <w:r w:rsidRPr="00143DB9">
        <w:rPr>
          <w:sz w:val="22"/>
          <w:szCs w:val="22"/>
        </w:rPr>
        <w:t>Congreso de la República</w:t>
      </w:r>
    </w:p>
    <w:p w:rsidR="00C75238" w:rsidRDefault="00C75238" w:rsidP="008C60AA">
      <w:pPr>
        <w:pStyle w:val="Sinespaciado"/>
        <w:spacing w:line="276" w:lineRule="auto"/>
        <w:jc w:val="both"/>
        <w:rPr>
          <w:sz w:val="22"/>
          <w:szCs w:val="22"/>
        </w:rPr>
      </w:pPr>
    </w:p>
    <w:p w:rsidR="00CA3120" w:rsidRDefault="00CA3120" w:rsidP="008C60AA">
      <w:pPr>
        <w:pStyle w:val="Sinespaciado"/>
        <w:spacing w:line="276" w:lineRule="auto"/>
        <w:jc w:val="both"/>
        <w:rPr>
          <w:sz w:val="22"/>
          <w:szCs w:val="22"/>
        </w:rPr>
      </w:pPr>
    </w:p>
    <w:p w:rsidR="00C75238" w:rsidRPr="00143DB9" w:rsidRDefault="00C75238" w:rsidP="008C60AA">
      <w:pPr>
        <w:pStyle w:val="Sinespaciado"/>
        <w:spacing w:line="276" w:lineRule="auto"/>
        <w:jc w:val="both"/>
        <w:rPr>
          <w:sz w:val="22"/>
          <w:szCs w:val="22"/>
        </w:rPr>
      </w:pPr>
      <w:r w:rsidRPr="00143DB9">
        <w:rPr>
          <w:sz w:val="22"/>
          <w:szCs w:val="22"/>
        </w:rPr>
        <w:t>Asunto: La</w:t>
      </w:r>
      <w:r w:rsidR="00505060" w:rsidRPr="00143DB9">
        <w:rPr>
          <w:sz w:val="22"/>
          <w:szCs w:val="22"/>
        </w:rPr>
        <w:t xml:space="preserve"> Cámara Automotriz de la </w:t>
      </w:r>
      <w:r w:rsidRPr="00143DB9">
        <w:rPr>
          <w:sz w:val="22"/>
          <w:szCs w:val="22"/>
        </w:rPr>
        <w:t xml:space="preserve">ANDI frente al Proyecto </w:t>
      </w:r>
      <w:r w:rsidR="00143DB9">
        <w:rPr>
          <w:sz w:val="22"/>
          <w:szCs w:val="22"/>
        </w:rPr>
        <w:t>de Ley No.</w:t>
      </w:r>
      <w:r w:rsidRPr="00143DB9">
        <w:rPr>
          <w:sz w:val="22"/>
          <w:szCs w:val="22"/>
        </w:rPr>
        <w:t xml:space="preserve"> 1</w:t>
      </w:r>
      <w:r w:rsidR="00D41053" w:rsidRPr="00143DB9">
        <w:rPr>
          <w:sz w:val="22"/>
          <w:szCs w:val="22"/>
        </w:rPr>
        <w:t>96</w:t>
      </w:r>
      <w:r w:rsidR="00143DB9">
        <w:rPr>
          <w:sz w:val="22"/>
          <w:szCs w:val="22"/>
        </w:rPr>
        <w:t>/1</w:t>
      </w:r>
      <w:r w:rsidR="00D41053" w:rsidRPr="00143DB9">
        <w:rPr>
          <w:sz w:val="22"/>
          <w:szCs w:val="22"/>
        </w:rPr>
        <w:t>9</w:t>
      </w:r>
      <w:r w:rsidR="00143DB9">
        <w:rPr>
          <w:sz w:val="22"/>
          <w:szCs w:val="22"/>
        </w:rPr>
        <w:t>C (</w:t>
      </w:r>
      <w:r w:rsidR="00CA3120">
        <w:rPr>
          <w:sz w:val="22"/>
          <w:szCs w:val="22"/>
        </w:rPr>
        <w:t>a</w:t>
      </w:r>
      <w:r w:rsidR="00143DB9">
        <w:rPr>
          <w:sz w:val="22"/>
          <w:szCs w:val="22"/>
        </w:rPr>
        <w:t xml:space="preserve">dquisición y </w:t>
      </w:r>
      <w:r w:rsidR="00CA3120">
        <w:rPr>
          <w:sz w:val="22"/>
          <w:szCs w:val="22"/>
        </w:rPr>
        <w:t>r</w:t>
      </w:r>
      <w:r w:rsidR="00143DB9">
        <w:rPr>
          <w:sz w:val="22"/>
          <w:szCs w:val="22"/>
        </w:rPr>
        <w:t>enovación del SOAT)</w:t>
      </w:r>
      <w:r w:rsidRPr="00143DB9">
        <w:rPr>
          <w:sz w:val="22"/>
          <w:szCs w:val="22"/>
        </w:rPr>
        <w:t>.</w:t>
      </w:r>
    </w:p>
    <w:p w:rsidR="00C75238" w:rsidRPr="00143DB9" w:rsidRDefault="00C75238" w:rsidP="008C60AA">
      <w:pPr>
        <w:pStyle w:val="Sinespaciado"/>
        <w:spacing w:line="276" w:lineRule="auto"/>
        <w:jc w:val="both"/>
        <w:rPr>
          <w:sz w:val="22"/>
          <w:szCs w:val="22"/>
        </w:rPr>
      </w:pPr>
    </w:p>
    <w:p w:rsidR="00C75238" w:rsidRPr="00143DB9" w:rsidRDefault="00C75238" w:rsidP="008C60AA">
      <w:pPr>
        <w:pStyle w:val="Sinespaciado"/>
        <w:spacing w:line="276" w:lineRule="auto"/>
        <w:jc w:val="both"/>
        <w:rPr>
          <w:b/>
          <w:sz w:val="22"/>
          <w:szCs w:val="22"/>
        </w:rPr>
      </w:pPr>
      <w:r w:rsidRPr="00143DB9">
        <w:rPr>
          <w:sz w:val="22"/>
          <w:szCs w:val="22"/>
        </w:rPr>
        <w:t>Honorable Representante:</w:t>
      </w:r>
    </w:p>
    <w:p w:rsidR="00C75238" w:rsidRPr="00143DB9" w:rsidRDefault="00C75238" w:rsidP="008C60AA">
      <w:pPr>
        <w:pStyle w:val="Sinespaciado"/>
        <w:spacing w:line="276" w:lineRule="auto"/>
        <w:jc w:val="both"/>
        <w:rPr>
          <w:sz w:val="22"/>
          <w:szCs w:val="22"/>
          <w:lang w:val="es-CO"/>
        </w:rPr>
      </w:pPr>
    </w:p>
    <w:p w:rsidR="005F2B9A" w:rsidRPr="00143DB9" w:rsidRDefault="00E30CA0" w:rsidP="00F260CA">
      <w:pPr>
        <w:pStyle w:val="Sinespaciado"/>
        <w:spacing w:line="276" w:lineRule="auto"/>
        <w:jc w:val="both"/>
        <w:rPr>
          <w:sz w:val="22"/>
          <w:szCs w:val="22"/>
        </w:rPr>
      </w:pPr>
      <w:r w:rsidRPr="00143DB9">
        <w:rPr>
          <w:sz w:val="22"/>
          <w:szCs w:val="22"/>
        </w:rPr>
        <w:t xml:space="preserve">La </w:t>
      </w:r>
      <w:r w:rsidR="00DF678B" w:rsidRPr="00143DB9">
        <w:rPr>
          <w:sz w:val="22"/>
          <w:szCs w:val="22"/>
        </w:rPr>
        <w:t xml:space="preserve">Cámara Automotriz de la </w:t>
      </w:r>
      <w:r w:rsidRPr="00143DB9">
        <w:rPr>
          <w:sz w:val="22"/>
          <w:szCs w:val="22"/>
        </w:rPr>
        <w:t xml:space="preserve">Asociación </w:t>
      </w:r>
      <w:r w:rsidR="008126A2" w:rsidRPr="00143DB9">
        <w:rPr>
          <w:sz w:val="22"/>
          <w:szCs w:val="22"/>
        </w:rPr>
        <w:t>Nacional de Empresarios de Colombia, ANDI,</w:t>
      </w:r>
      <w:r w:rsidR="009B615B" w:rsidRPr="00143DB9">
        <w:rPr>
          <w:sz w:val="22"/>
          <w:szCs w:val="22"/>
        </w:rPr>
        <w:t xml:space="preserve"> </w:t>
      </w:r>
      <w:r w:rsidR="005F2B9A" w:rsidRPr="00143DB9">
        <w:rPr>
          <w:sz w:val="22"/>
          <w:szCs w:val="22"/>
        </w:rPr>
        <w:t xml:space="preserve">inspirada en el bien común, en la democracia participativa y en la búsqueda del mayor desarrollo y beneficio social para los colombianos, se permite presentar algunas consideraciones al Proyecto de Ley </w:t>
      </w:r>
      <w:r w:rsidR="00143DB9">
        <w:rPr>
          <w:sz w:val="22"/>
          <w:szCs w:val="22"/>
        </w:rPr>
        <w:t>del asunto</w:t>
      </w:r>
      <w:r w:rsidR="005F2B9A" w:rsidRPr="00143DB9">
        <w:rPr>
          <w:sz w:val="22"/>
          <w:szCs w:val="22"/>
        </w:rPr>
        <w:t xml:space="preserve"> </w:t>
      </w:r>
      <w:r w:rsidR="005F2B9A" w:rsidRPr="00143DB9">
        <w:rPr>
          <w:i/>
          <w:sz w:val="22"/>
          <w:szCs w:val="22"/>
        </w:rPr>
        <w:t>“Por medio del cual se modifica la Ley 769 de 2002 y se establecen medidas que permitan incrementar la adquisición y renovación del Seguro Obligatorio de Accidentes de Tránsito (SOAT), por parte de los propietarios y/o conductores de vehículos motorizados a nivel nacional y se dictan otras disposiciones”</w:t>
      </w:r>
      <w:r w:rsidR="00F260CA" w:rsidRPr="00143DB9">
        <w:rPr>
          <w:sz w:val="22"/>
          <w:szCs w:val="22"/>
        </w:rPr>
        <w:t>, d</w:t>
      </w:r>
      <w:r w:rsidR="005F2B9A" w:rsidRPr="00143DB9">
        <w:rPr>
          <w:sz w:val="22"/>
          <w:szCs w:val="22"/>
        </w:rPr>
        <w:t xml:space="preserve">ebajo texto del proyecto destacadas en rojo, </w:t>
      </w:r>
      <w:r w:rsidR="002844D8">
        <w:rPr>
          <w:sz w:val="22"/>
          <w:szCs w:val="22"/>
        </w:rPr>
        <w:t xml:space="preserve">subrayadas, </w:t>
      </w:r>
      <w:r w:rsidR="005F2B9A" w:rsidRPr="00143DB9">
        <w:rPr>
          <w:sz w:val="22"/>
          <w:szCs w:val="22"/>
        </w:rPr>
        <w:t>tachadas, en negrita y</w:t>
      </w:r>
      <w:r w:rsidR="00CA3120">
        <w:rPr>
          <w:sz w:val="22"/>
          <w:szCs w:val="22"/>
        </w:rPr>
        <w:t xml:space="preserve"> debidamente sustentadas, </w:t>
      </w:r>
      <w:r w:rsidR="00F260CA" w:rsidRPr="00143DB9">
        <w:rPr>
          <w:sz w:val="22"/>
          <w:szCs w:val="22"/>
        </w:rPr>
        <w:t>compartie</w:t>
      </w:r>
      <w:r w:rsidR="005F2B9A" w:rsidRPr="00143DB9">
        <w:rPr>
          <w:sz w:val="22"/>
          <w:szCs w:val="22"/>
        </w:rPr>
        <w:t>ndo el propósito final de esta iniciativa</w:t>
      </w:r>
      <w:r w:rsidR="00F260CA" w:rsidRPr="00143DB9">
        <w:rPr>
          <w:sz w:val="22"/>
          <w:szCs w:val="22"/>
        </w:rPr>
        <w:t>.</w:t>
      </w:r>
    </w:p>
    <w:p w:rsidR="00605A19" w:rsidRPr="00143DB9" w:rsidRDefault="00605A19" w:rsidP="008C60AA">
      <w:pPr>
        <w:pStyle w:val="Sinespaciado"/>
        <w:spacing w:line="276" w:lineRule="auto"/>
        <w:jc w:val="both"/>
        <w:rPr>
          <w:sz w:val="22"/>
          <w:szCs w:val="22"/>
        </w:rPr>
      </w:pPr>
    </w:p>
    <w:p w:rsidR="00143DB9" w:rsidRPr="00143DB9" w:rsidRDefault="00143DB9" w:rsidP="00143DB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276" w:lineRule="auto"/>
        <w:jc w:val="center"/>
        <w:rPr>
          <w:sz w:val="22"/>
          <w:szCs w:val="22"/>
          <w:lang w:val="es-ES_tradnl" w:eastAsia="es-CO"/>
        </w:rPr>
      </w:pPr>
      <w:r w:rsidRPr="00143DB9">
        <w:rPr>
          <w:sz w:val="22"/>
          <w:szCs w:val="22"/>
          <w:lang w:val="es-ES_tradnl" w:eastAsia="es-CO"/>
        </w:rPr>
        <w:t>ANDI APORTES AL TEXTO DEL PROYECTO DE LEY</w:t>
      </w:r>
    </w:p>
    <w:p w:rsidR="008C60AA" w:rsidRPr="00143DB9" w:rsidRDefault="008C60AA" w:rsidP="008C60AA">
      <w:pPr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  <w:b/>
        </w:rPr>
        <w:t xml:space="preserve">ARTÍCULO 1. Objeto. </w:t>
      </w:r>
      <w:r w:rsidRPr="00143DB9">
        <w:rPr>
          <w:rFonts w:ascii="Arial" w:eastAsia="Calibri" w:hAnsi="Arial" w:cs="Arial"/>
        </w:rPr>
        <w:t xml:space="preserve">La presente Ley tiene por objeto establecer medidas que permitan incrementar la adquisición y renovación del Seguro Obligatorio </w:t>
      </w:r>
      <w:r w:rsidR="002844D8">
        <w:rPr>
          <w:rFonts w:ascii="Arial" w:eastAsia="Calibri" w:hAnsi="Arial" w:cs="Arial"/>
        </w:rPr>
        <w:t>de Accidentes de Tránsito - SOAT</w:t>
      </w:r>
      <w:r w:rsidRPr="00143DB9">
        <w:rPr>
          <w:rFonts w:ascii="Arial" w:eastAsia="Calibri" w:hAnsi="Arial" w:cs="Arial"/>
        </w:rPr>
        <w:t>, por parte de los propietarios y/o conductores de vehículos motorizados a nivel nacional y fortalecer la capacidad institucional de la Administradora de los Recursos del SGSSS -ADRES-.</w:t>
      </w:r>
    </w:p>
    <w:p w:rsidR="008C60AA" w:rsidRPr="00143DB9" w:rsidRDefault="008C60AA" w:rsidP="008C60AA">
      <w:pPr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  <w:b/>
        </w:rPr>
        <w:t xml:space="preserve">ARTÍCULO 2. Descuento por pronta renovación del Seguro Obligatorio de Accidentes de Tránsito -SOAT-. </w:t>
      </w:r>
      <w:r w:rsidRPr="00143DB9">
        <w:rPr>
          <w:rFonts w:ascii="Arial" w:eastAsia="Calibri" w:hAnsi="Arial" w:cs="Arial"/>
        </w:rPr>
        <w:t>Los propietarios o conductores que deban renovar el Seguro Obligatorio de Accidentes de Tránsito -SOAT-, que no hayan recibido multas o sanciones por infracciones de tránsito, serán beneficiarios de un descuento por la pronta renovación de su seguro de la siguiente forma:</w:t>
      </w:r>
    </w:p>
    <w:p w:rsidR="008C60AA" w:rsidRPr="00143DB9" w:rsidRDefault="008C60AA" w:rsidP="008C60AA">
      <w:pPr>
        <w:widowControl w:val="0"/>
        <w:numPr>
          <w:ilvl w:val="0"/>
          <w:numId w:val="17"/>
        </w:numPr>
        <w:autoSpaceDE w:val="0"/>
        <w:autoSpaceDN w:val="0"/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</w:rPr>
        <w:t>Si la renovación del seguro obligatorio tiene lugar cuando faltaren más de treinta (</w:t>
      </w:r>
      <w:r w:rsidRPr="00143DB9">
        <w:rPr>
          <w:rFonts w:ascii="Arial" w:eastAsia="Calibri" w:hAnsi="Arial" w:cs="Arial"/>
          <w:highlight w:val="white"/>
        </w:rPr>
        <w:t xml:space="preserve">30) </w:t>
      </w:r>
      <w:r w:rsidRPr="00143DB9">
        <w:rPr>
          <w:rFonts w:ascii="Arial" w:eastAsia="Calibri" w:hAnsi="Arial" w:cs="Arial"/>
        </w:rPr>
        <w:t xml:space="preserve">días calendario para la fecha de vencimiento de dicho seguro, habrá lugar a un descuento </w:t>
      </w:r>
      <w:r w:rsidRPr="00143DB9">
        <w:rPr>
          <w:rFonts w:ascii="Arial" w:eastAsia="Calibri" w:hAnsi="Arial" w:cs="Arial"/>
        </w:rPr>
        <w:lastRenderedPageBreak/>
        <w:t>equivalente al quince por ciento (15%) sobre el valor de la prima anual emitida, antes de contribuciones.</w:t>
      </w:r>
    </w:p>
    <w:p w:rsidR="008C60AA" w:rsidRPr="00143DB9" w:rsidRDefault="008C60AA" w:rsidP="008C60AA">
      <w:pPr>
        <w:widowControl w:val="0"/>
        <w:numPr>
          <w:ilvl w:val="0"/>
          <w:numId w:val="17"/>
        </w:numPr>
        <w:autoSpaceDE w:val="0"/>
        <w:autoSpaceDN w:val="0"/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</w:rPr>
        <w:t xml:space="preserve">Si la renovación del seguro obligatorio tiene lugar cuando faltaren </w:t>
      </w:r>
      <w:r w:rsidRPr="00143DB9">
        <w:rPr>
          <w:rFonts w:ascii="Arial" w:eastAsia="Calibri" w:hAnsi="Arial" w:cs="Arial"/>
          <w:highlight w:val="white"/>
        </w:rPr>
        <w:t xml:space="preserve">entre </w:t>
      </w:r>
      <w:r w:rsidRPr="00143DB9">
        <w:rPr>
          <w:rFonts w:ascii="Arial" w:eastAsia="Calibri" w:hAnsi="Arial" w:cs="Arial"/>
        </w:rPr>
        <w:t>treinta (</w:t>
      </w:r>
      <w:r w:rsidRPr="00143DB9">
        <w:rPr>
          <w:rFonts w:ascii="Arial" w:eastAsia="Calibri" w:hAnsi="Arial" w:cs="Arial"/>
          <w:highlight w:val="white"/>
        </w:rPr>
        <w:t xml:space="preserve">30) y catorce (14) días </w:t>
      </w:r>
      <w:r w:rsidRPr="00143DB9">
        <w:rPr>
          <w:rFonts w:ascii="Arial" w:eastAsia="Calibri" w:hAnsi="Arial" w:cs="Arial"/>
        </w:rPr>
        <w:t>calendario para la fecha de vencimiento de dicho seguro, habrá lugar a un descuento equivalente al diez por ciento (10%) sobre el valor de la prima anual emitida, antes de contribuciones.</w:t>
      </w:r>
    </w:p>
    <w:p w:rsidR="008C60AA" w:rsidRPr="00143DB9" w:rsidRDefault="008C60AA" w:rsidP="008C60AA">
      <w:pPr>
        <w:widowControl w:val="0"/>
        <w:numPr>
          <w:ilvl w:val="0"/>
          <w:numId w:val="17"/>
        </w:numPr>
        <w:autoSpaceDE w:val="0"/>
        <w:autoSpaceDN w:val="0"/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</w:rPr>
        <w:t>Si la renovación del seguro obligatorio tiene lugar cuando faltaren entre quince (15) y siete (7) días calendario para la fecha de vencimiento de dicho seguro, habrá lugar a un descuento equivalente al cinco por ciento (5%) sobre el valor de la prima anual emitida, antes de contribuciones.</w:t>
      </w:r>
    </w:p>
    <w:p w:rsidR="008C60AA" w:rsidRPr="00143DB9" w:rsidRDefault="008C60AA" w:rsidP="008C60AA">
      <w:pPr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  <w:b/>
        </w:rPr>
        <w:t>Parágrafo:</w:t>
      </w:r>
      <w:r w:rsidRPr="00143DB9">
        <w:rPr>
          <w:rFonts w:ascii="Arial" w:eastAsia="Calibri" w:hAnsi="Arial" w:cs="Arial"/>
        </w:rPr>
        <w:t xml:space="preserve"> Si la renovación del seguro obligatorio tiene lugar cuando faltaren seis (6) días calendario o menos para la fecha de vencimiento de dicho seguro, o hasta catorce (14) días calendario después de dicha fecha, el tomador del seguro pagará la tarifa plena vigente para la categoría de vehículo respectiva.</w:t>
      </w:r>
    </w:p>
    <w:p w:rsidR="008C60AA" w:rsidRPr="00143DB9" w:rsidRDefault="008C60AA" w:rsidP="008C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143DB9">
        <w:rPr>
          <w:rFonts w:ascii="Arial" w:hAnsi="Arial" w:cs="Arial"/>
          <w:b/>
          <w:bCs/>
        </w:rPr>
        <w:t>COMENTARIO:</w:t>
      </w:r>
      <w:r w:rsidRPr="00143DB9">
        <w:rPr>
          <w:rFonts w:ascii="Arial" w:hAnsi="Arial" w:cs="Arial"/>
          <w:bCs/>
        </w:rPr>
        <w:t xml:space="preserve"> El artículo es positivo toda vez que incentiva al pago oportuno del Seguro Obligatorio – SOAT.  </w:t>
      </w:r>
    </w:p>
    <w:p w:rsidR="008C60AA" w:rsidRPr="00143DB9" w:rsidRDefault="008C60AA" w:rsidP="008C60AA">
      <w:pPr>
        <w:spacing w:before="240" w:after="240" w:line="276" w:lineRule="auto"/>
        <w:ind w:right="-11"/>
        <w:jc w:val="both"/>
        <w:rPr>
          <w:rFonts w:ascii="Arial" w:eastAsia="Calibri" w:hAnsi="Arial" w:cs="Arial"/>
          <w:strike/>
          <w:color w:val="FF0000"/>
        </w:rPr>
      </w:pPr>
      <w:r w:rsidRPr="00143DB9">
        <w:rPr>
          <w:rFonts w:ascii="Arial" w:eastAsia="Calibri" w:hAnsi="Arial" w:cs="Arial"/>
          <w:b/>
          <w:strike/>
          <w:color w:val="FF0000"/>
        </w:rPr>
        <w:t xml:space="preserve">ARTÍCULO 3. Recargo por tardía renovación del Seguro Obligatorio de Accidentes de Tránsito -SOAT-. </w:t>
      </w:r>
      <w:r w:rsidRPr="00143DB9">
        <w:rPr>
          <w:rFonts w:ascii="Arial" w:eastAsia="Calibri" w:hAnsi="Arial" w:cs="Arial"/>
          <w:strike/>
          <w:color w:val="FF0000"/>
        </w:rPr>
        <w:t xml:space="preserve">Los propietarios o conductores que renueven el Seguro Obligatorio de Accidentes de Tránsito -SOAT- </w:t>
      </w:r>
      <w:r w:rsidRPr="00143DB9">
        <w:rPr>
          <w:rFonts w:ascii="Arial" w:eastAsia="Calibri" w:hAnsi="Arial" w:cs="Arial"/>
          <w:strike/>
          <w:color w:val="FF0000"/>
          <w:highlight w:val="white"/>
        </w:rPr>
        <w:t xml:space="preserve">pasados quince (15) días </w:t>
      </w:r>
      <w:r w:rsidRPr="00143DB9">
        <w:rPr>
          <w:rFonts w:ascii="Arial" w:eastAsia="Calibri" w:hAnsi="Arial" w:cs="Arial"/>
          <w:strike/>
          <w:color w:val="FF0000"/>
        </w:rPr>
        <w:t>calendario después de la fecha de vencimiento de la póliza deberán pagar un recargo equivalente al diez por ciento (10%) sobre el valor de la prima anual emitida, antes de contribuciones.</w:t>
      </w:r>
    </w:p>
    <w:p w:rsidR="008C60AA" w:rsidRPr="00143DB9" w:rsidRDefault="008C60AA" w:rsidP="008C60AA">
      <w:pPr>
        <w:spacing w:before="240" w:after="240" w:line="276" w:lineRule="auto"/>
        <w:ind w:right="-11"/>
        <w:jc w:val="both"/>
        <w:rPr>
          <w:rFonts w:ascii="Arial" w:eastAsia="Calibri" w:hAnsi="Arial" w:cs="Arial"/>
          <w:strike/>
          <w:color w:val="FF0000"/>
        </w:rPr>
      </w:pPr>
      <w:r w:rsidRPr="00143DB9">
        <w:rPr>
          <w:rFonts w:ascii="Arial" w:eastAsia="Calibri" w:hAnsi="Arial" w:cs="Arial"/>
          <w:b/>
          <w:strike/>
          <w:color w:val="FF0000"/>
        </w:rPr>
        <w:t xml:space="preserve">Parágrafo: </w:t>
      </w:r>
      <w:r w:rsidRPr="00143DB9">
        <w:rPr>
          <w:rFonts w:ascii="Arial" w:eastAsia="Calibri" w:hAnsi="Arial" w:cs="Arial"/>
          <w:strike/>
          <w:color w:val="FF0000"/>
        </w:rPr>
        <w:t>Lo dispuesto en este artículo no aplica para los vehículos automotores que sean clasificados como antiguos o clásicos de acuerdo con la normatividad vigente.</w:t>
      </w:r>
    </w:p>
    <w:p w:rsidR="008C60AA" w:rsidRPr="00143DB9" w:rsidRDefault="008C60AA" w:rsidP="008C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143DB9">
        <w:rPr>
          <w:rFonts w:ascii="Arial" w:hAnsi="Arial" w:cs="Arial"/>
          <w:b/>
          <w:bCs/>
        </w:rPr>
        <w:t>ANDI AUTOMOTOR SUSTENTACIÓN:</w:t>
      </w:r>
      <w:r w:rsidRPr="00143DB9">
        <w:rPr>
          <w:rFonts w:ascii="Arial" w:hAnsi="Arial" w:cs="Arial"/>
          <w:bCs/>
        </w:rPr>
        <w:t xml:space="preserve"> Se sugiere suprimir el artículo 3 del P.L., toda vez que los recargos al valor del SOAT pueden generar efectos negativos y agudizar la problemática actual de evasión del mismo. </w:t>
      </w:r>
    </w:p>
    <w:p w:rsidR="0025336C" w:rsidRPr="003109BA" w:rsidRDefault="0025336C" w:rsidP="008C60A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11"/>
        <w:jc w:val="both"/>
        <w:rPr>
          <w:rFonts w:ascii="Arial" w:eastAsia="Calibri" w:hAnsi="Arial" w:cs="Arial"/>
          <w:b/>
          <w:color w:val="FF0000"/>
          <w:u w:val="single"/>
        </w:rPr>
      </w:pPr>
      <w:r w:rsidRPr="003109BA">
        <w:rPr>
          <w:rFonts w:ascii="Arial" w:eastAsia="Calibri" w:hAnsi="Arial" w:cs="Arial"/>
          <w:b/>
          <w:color w:val="FF0000"/>
          <w:u w:val="single"/>
        </w:rPr>
        <w:t xml:space="preserve">ARTÍCULO 3. Obligatoriedad de las Entidades Aseguradoras. </w:t>
      </w:r>
      <w:r w:rsidR="00D47664" w:rsidRPr="003109BA">
        <w:rPr>
          <w:rFonts w:ascii="Arial" w:eastAsia="Calibri" w:hAnsi="Arial" w:cs="Arial"/>
          <w:b/>
          <w:color w:val="FF0000"/>
          <w:u w:val="single"/>
        </w:rPr>
        <w:t>Las entidades aseguradoras debidamente habilitadas para ofrecer el Seguro Obligatorio de Accidentes de Tránsito - SOAT, están obligadas a aceptar y expedir este seguro a cualquier solicitante en todo el territorio nacional, sin excepción ni distinción en relación con el tipo de vehículo, ni la zona geográfica del país en la cual circule el automotor.</w:t>
      </w:r>
    </w:p>
    <w:p w:rsidR="0025336C" w:rsidRDefault="0025336C" w:rsidP="00253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143DB9">
        <w:rPr>
          <w:rFonts w:ascii="Arial" w:hAnsi="Arial" w:cs="Arial"/>
          <w:b/>
          <w:bCs/>
        </w:rPr>
        <w:t>ANDI AUTOMOTOR SUSTENTACIÓN:</w:t>
      </w:r>
      <w:r w:rsidRPr="00143DB9">
        <w:rPr>
          <w:rFonts w:ascii="Arial" w:hAnsi="Arial" w:cs="Arial"/>
          <w:bCs/>
        </w:rPr>
        <w:t xml:space="preserve"> </w:t>
      </w:r>
      <w:r w:rsidR="007305F3" w:rsidRPr="007305F3">
        <w:rPr>
          <w:rFonts w:ascii="Arial" w:hAnsi="Arial" w:cs="Arial"/>
          <w:bCs/>
        </w:rPr>
        <w:t xml:space="preserve">Se sugiere reemplazar el </w:t>
      </w:r>
      <w:r w:rsidR="007305F3">
        <w:rPr>
          <w:rFonts w:ascii="Arial" w:hAnsi="Arial" w:cs="Arial"/>
          <w:bCs/>
        </w:rPr>
        <w:t xml:space="preserve">Artículo 3 “Recargo </w:t>
      </w:r>
      <w:r w:rsidR="007305F3" w:rsidRPr="007305F3">
        <w:rPr>
          <w:rFonts w:ascii="Arial" w:hAnsi="Arial" w:cs="Arial"/>
          <w:bCs/>
        </w:rPr>
        <w:t>por tardía renovación del Seguro Obligatorio de Accidentes de Tránsito -SOAT-” por el de “Obligatoriedad de las Entidades Aseguradoras”</w:t>
      </w:r>
      <w:r w:rsidR="007305F3">
        <w:rPr>
          <w:rFonts w:ascii="Arial" w:hAnsi="Arial" w:cs="Arial"/>
          <w:bCs/>
        </w:rPr>
        <w:t xml:space="preserve">, esto, con el objetivo de garantizar la adquisición de la póliza en todo </w:t>
      </w:r>
      <w:r w:rsidR="008455B6">
        <w:rPr>
          <w:rFonts w:ascii="Arial" w:hAnsi="Arial" w:cs="Arial"/>
          <w:bCs/>
        </w:rPr>
        <w:t xml:space="preserve">el </w:t>
      </w:r>
      <w:r w:rsidR="007305F3">
        <w:rPr>
          <w:rFonts w:ascii="Arial" w:hAnsi="Arial" w:cs="Arial"/>
          <w:bCs/>
        </w:rPr>
        <w:t>territorio nacional de acuerdo a lo establecido en el inciso</w:t>
      </w:r>
      <w:r w:rsidR="009B5C4D">
        <w:rPr>
          <w:rFonts w:ascii="Arial" w:hAnsi="Arial" w:cs="Arial"/>
          <w:bCs/>
        </w:rPr>
        <w:t xml:space="preserve"> 3°, </w:t>
      </w:r>
      <w:r w:rsidR="007305F3">
        <w:rPr>
          <w:rFonts w:ascii="Arial" w:hAnsi="Arial" w:cs="Arial"/>
          <w:bCs/>
        </w:rPr>
        <w:t>numeral 1°</w:t>
      </w:r>
      <w:r w:rsidR="009B5C4D">
        <w:rPr>
          <w:rFonts w:ascii="Arial" w:hAnsi="Arial" w:cs="Arial"/>
          <w:bCs/>
        </w:rPr>
        <w:t>,</w:t>
      </w:r>
      <w:r w:rsidR="007305F3">
        <w:rPr>
          <w:rFonts w:ascii="Arial" w:hAnsi="Arial" w:cs="Arial"/>
          <w:bCs/>
        </w:rPr>
        <w:t xml:space="preserve"> artículo 192 del Estatuto Orgánico del Sistema Financiero – EOSF. </w:t>
      </w:r>
    </w:p>
    <w:p w:rsidR="008455B6" w:rsidRDefault="008455B6" w:rsidP="00253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 anterior, teniendo en cuenta que la desmaterialización del SOAT no ha </w:t>
      </w:r>
      <w:r w:rsidR="001C563C">
        <w:rPr>
          <w:rFonts w:ascii="Arial" w:hAnsi="Arial" w:cs="Arial"/>
          <w:bCs/>
        </w:rPr>
        <w:t>garantizado la eliminación de</w:t>
      </w:r>
      <w:r>
        <w:rPr>
          <w:rFonts w:ascii="Arial" w:hAnsi="Arial" w:cs="Arial"/>
          <w:bCs/>
        </w:rPr>
        <w:t xml:space="preserve"> las barreras de acceso y compra en varios municipios del país, tal como</w:t>
      </w:r>
      <w:r w:rsidR="001C563C">
        <w:rPr>
          <w:rFonts w:ascii="Arial" w:hAnsi="Arial" w:cs="Arial"/>
          <w:bCs/>
        </w:rPr>
        <w:t xml:space="preserve"> se evidencia </w:t>
      </w:r>
      <w:r>
        <w:rPr>
          <w:rFonts w:ascii="Arial" w:hAnsi="Arial" w:cs="Arial"/>
          <w:bCs/>
        </w:rPr>
        <w:t>e</w:t>
      </w:r>
      <w:r w:rsidR="001C563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="001C563C">
        <w:rPr>
          <w:rFonts w:ascii="Arial" w:hAnsi="Arial" w:cs="Arial"/>
          <w:bCs/>
        </w:rPr>
        <w:t>respuesta emitida</w:t>
      </w:r>
      <w:r w:rsidR="00ED4D7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por la Superintendencia Financiera de </w:t>
      </w:r>
      <w:r w:rsidR="009B5C4D">
        <w:rPr>
          <w:rFonts w:ascii="Arial" w:hAnsi="Arial" w:cs="Arial"/>
          <w:bCs/>
        </w:rPr>
        <w:t xml:space="preserve">Colombia </w:t>
      </w:r>
      <w:r w:rsidR="00ED4D7D">
        <w:rPr>
          <w:rFonts w:ascii="Arial" w:hAnsi="Arial" w:cs="Arial"/>
          <w:bCs/>
        </w:rPr>
        <w:t xml:space="preserve">a ASCOMOCOL </w:t>
      </w:r>
      <w:r w:rsidR="009B5C4D">
        <w:rPr>
          <w:rFonts w:ascii="Arial" w:hAnsi="Arial" w:cs="Arial"/>
          <w:bCs/>
        </w:rPr>
        <w:t>con fecha 21-08-2015</w:t>
      </w:r>
      <w:r>
        <w:rPr>
          <w:rFonts w:ascii="Arial" w:hAnsi="Arial" w:cs="Arial"/>
          <w:bCs/>
        </w:rPr>
        <w:t>.</w:t>
      </w:r>
      <w:r w:rsidR="009B5C4D">
        <w:rPr>
          <w:rFonts w:ascii="Arial" w:hAnsi="Arial" w:cs="Arial"/>
          <w:bCs/>
        </w:rPr>
        <w:t xml:space="preserve"> Consulta:</w:t>
      </w:r>
      <w:r>
        <w:rPr>
          <w:rFonts w:ascii="Arial" w:hAnsi="Arial" w:cs="Arial"/>
          <w:bCs/>
        </w:rPr>
        <w:t xml:space="preserve"> </w:t>
      </w:r>
      <w:hyperlink r:id="rId8" w:history="1">
        <w:r w:rsidRPr="00811624">
          <w:rPr>
            <w:rStyle w:val="Hipervnculo"/>
            <w:rFonts w:ascii="Arial" w:hAnsi="Arial" w:cs="Arial"/>
            <w:bCs/>
          </w:rPr>
          <w:t>https://www.publimotos.com/images/archivos/Asomocol.pdf</w:t>
        </w:r>
      </w:hyperlink>
    </w:p>
    <w:p w:rsidR="008C60AA" w:rsidRPr="00143DB9" w:rsidRDefault="008C60AA" w:rsidP="008C60AA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  <w:b/>
        </w:rPr>
        <w:t xml:space="preserve">ARTÍCULO 4. Prueba de la constitución del Seguro Obligatorio de Accidentes de Tránsito -SOAT-. </w:t>
      </w:r>
      <w:r w:rsidRPr="003109BA">
        <w:rPr>
          <w:rFonts w:ascii="Arial" w:eastAsia="Calibri" w:hAnsi="Arial" w:cs="Arial"/>
        </w:rPr>
        <w:t>Servirá de plena prueba para la demostración de la constitución del Seguro Obligatorio de Accidentes de Tránsito -SOAT- la presentación del documento físico o archivo digital en cualquier medio siempre que permita la verificación de su autenticidad por parte de las autoridades de tránsito o de policía. No obstante, si se verifica que el documento o archivo presentado fue objeto de alteraciones o que el seguro no se encuentra vigente o no fue debidamente expedido por una compañía autorizada para el efecto de acuerdo con lo establecido en las normas que reglamenten la materia, habrá lugar a la aplicación de las sanciones previstas en el artículo 6 de la presente Ley.</w:t>
      </w:r>
    </w:p>
    <w:p w:rsidR="008C60AA" w:rsidRPr="00143DB9" w:rsidRDefault="008C60AA" w:rsidP="008C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143DB9">
        <w:rPr>
          <w:rFonts w:ascii="Arial" w:hAnsi="Arial" w:cs="Arial"/>
          <w:b/>
          <w:bCs/>
        </w:rPr>
        <w:t>COMENTARIO:</w:t>
      </w:r>
      <w:r w:rsidRPr="00143DB9">
        <w:rPr>
          <w:rFonts w:ascii="Arial" w:hAnsi="Arial" w:cs="Arial"/>
          <w:bCs/>
        </w:rPr>
        <w:t xml:space="preserve"> En la actualidad, las herramientas de verificación en la autenticidad del SOAT funciona como lo indica el articulado.    </w:t>
      </w:r>
    </w:p>
    <w:p w:rsidR="008C60AA" w:rsidRPr="00143DB9" w:rsidRDefault="008C60AA" w:rsidP="008C60AA">
      <w:pPr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  <w:b/>
        </w:rPr>
        <w:t xml:space="preserve">ARTÍCULO 5. </w:t>
      </w:r>
      <w:r w:rsidRPr="00143DB9">
        <w:rPr>
          <w:rFonts w:ascii="Arial" w:eastAsia="Calibri" w:hAnsi="Arial" w:cs="Arial"/>
        </w:rPr>
        <w:t>Modifíquese el artículo 151 de la Ley 769 de 2002, el cual quedará así:</w:t>
      </w:r>
    </w:p>
    <w:p w:rsidR="008C60AA" w:rsidRPr="00143DB9" w:rsidRDefault="008C60AA" w:rsidP="008C60AA">
      <w:pPr>
        <w:shd w:val="clear" w:color="auto" w:fill="FFFFFF"/>
        <w:spacing w:before="12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  <w:b/>
        </w:rPr>
        <w:t>Artículo 151. Suspensión de Licencia</w:t>
      </w:r>
      <w:r w:rsidRPr="00143DB9">
        <w:rPr>
          <w:rFonts w:ascii="Arial" w:eastAsia="Calibri" w:hAnsi="Arial" w:cs="Arial"/>
        </w:rPr>
        <w:t>. Quien cause lesiones u homicidios en accidente de tránsito y se demuestre que actuó bajo cualquiera de los estados de embriaguez de que trata este código, o que injustificadamente abandone el lugar de los hechos, además de las sanciones previstas en el Código Penal, se hará acreedor a la suspensión de su licencia por el término de cinco (5) años.</w:t>
      </w:r>
    </w:p>
    <w:p w:rsidR="008C60AA" w:rsidRPr="008153D0" w:rsidRDefault="008C60AA" w:rsidP="008C60AA">
      <w:pPr>
        <w:shd w:val="clear" w:color="auto" w:fill="FFFFFF"/>
        <w:spacing w:before="240" w:after="240" w:line="276" w:lineRule="auto"/>
        <w:ind w:right="-11"/>
        <w:jc w:val="both"/>
        <w:rPr>
          <w:rFonts w:ascii="Arial" w:eastAsia="Calibri" w:hAnsi="Arial" w:cs="Arial"/>
          <w:b/>
          <w:color w:val="FF0000"/>
          <w:u w:val="single"/>
        </w:rPr>
      </w:pPr>
      <w:r w:rsidRPr="008153D0">
        <w:rPr>
          <w:rFonts w:ascii="Arial" w:eastAsia="Calibri" w:hAnsi="Arial" w:cs="Arial"/>
          <w:b/>
          <w:color w:val="FF0000"/>
          <w:u w:val="single"/>
        </w:rPr>
        <w:t>Igual sanción recibirá quien porte documento que pretenda hacer valer como póliza de seguro obligatorio de accidentes de tránsito -SOAT- fraudulenta, por no haber sido debidamente expedida por compañía de seguros autorizada para el efecto o por haber adulterado el contenido de la póliza, modificando las condiciones en las que fue expedida la póliza.</w:t>
      </w:r>
    </w:p>
    <w:p w:rsidR="008C60AA" w:rsidRPr="00143DB9" w:rsidRDefault="008C60AA" w:rsidP="008C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143DB9">
        <w:rPr>
          <w:rFonts w:ascii="Arial" w:hAnsi="Arial" w:cs="Arial"/>
          <w:b/>
          <w:bCs/>
        </w:rPr>
        <w:t>COMENTARIO:</w:t>
      </w:r>
      <w:r w:rsidRPr="00143DB9">
        <w:rPr>
          <w:rFonts w:ascii="Arial" w:hAnsi="Arial" w:cs="Arial"/>
          <w:bCs/>
        </w:rPr>
        <w:t xml:space="preserve"> Se sugiere hacer la diferenciación entre el tiempo de suspensión de licencias por temas de embriaguez y el tiempo de suspensión por temas de fraude en el SOAT. Los tiempos se deben determinar teniendo en cuenta las sanciones previstas por el Código Penal.</w:t>
      </w:r>
    </w:p>
    <w:p w:rsidR="008C60AA" w:rsidRPr="00143DB9" w:rsidRDefault="008C60AA" w:rsidP="008C60AA">
      <w:pPr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  <w:b/>
        </w:rPr>
        <w:t xml:space="preserve">ARTÍCULO 6. Fortalecimiento de la ADRES. </w:t>
      </w:r>
      <w:r w:rsidRPr="00143DB9">
        <w:rPr>
          <w:rFonts w:ascii="Arial" w:eastAsia="Calibri" w:hAnsi="Arial" w:cs="Arial"/>
        </w:rPr>
        <w:t>El Gobierno Nacional, a través del Departamento Administrativo de la Función Pública deberá efectuar los estudios técnicos que permitan establecer la capacidad técnica, tecnológica y organizacional de la Administradora de los Recursos del SGSSS -ADRES- para adelantar los procesos de recuperación de cartera por los pagos que efectúa como consecuencia de los accidentes de tránsito de vehículos no identificados y/o no asegurados. Como resultado de este estudio, a través del Ministerio de Hacienda y Crédito Público en coordinación con el Ministerio de Transporte y el Ministerio de Protección Social deberá destinar los recursos que permitan el fortalecimiento de la capacidad institucional y tecnológica de la ADRES para recuperar los dineros dirigidos al pago de las coberturas que correspondan a esta entidad.</w:t>
      </w:r>
    </w:p>
    <w:p w:rsidR="008C60AA" w:rsidRPr="00143DB9" w:rsidRDefault="008C60AA" w:rsidP="008C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143DB9">
        <w:rPr>
          <w:rFonts w:ascii="Arial" w:hAnsi="Arial" w:cs="Arial"/>
          <w:b/>
          <w:bCs/>
        </w:rPr>
        <w:t>COMENTARIO:</w:t>
      </w:r>
      <w:r w:rsidRPr="00143DB9">
        <w:rPr>
          <w:rFonts w:ascii="Arial" w:hAnsi="Arial" w:cs="Arial"/>
          <w:bCs/>
        </w:rPr>
        <w:t xml:space="preserve"> El artículo es </w:t>
      </w:r>
      <w:r w:rsidR="003221FD" w:rsidRPr="00143DB9">
        <w:rPr>
          <w:rFonts w:ascii="Arial" w:hAnsi="Arial" w:cs="Arial"/>
          <w:bCs/>
        </w:rPr>
        <w:t>pertinente</w:t>
      </w:r>
      <w:r w:rsidRPr="00143DB9">
        <w:rPr>
          <w:rFonts w:ascii="Arial" w:hAnsi="Arial" w:cs="Arial"/>
          <w:bCs/>
        </w:rPr>
        <w:t xml:space="preserve"> </w:t>
      </w:r>
      <w:r w:rsidR="003221FD" w:rsidRPr="00143DB9">
        <w:rPr>
          <w:rFonts w:ascii="Arial" w:hAnsi="Arial" w:cs="Arial"/>
          <w:bCs/>
        </w:rPr>
        <w:t xml:space="preserve">ya </w:t>
      </w:r>
      <w:r w:rsidRPr="00143DB9">
        <w:rPr>
          <w:rFonts w:ascii="Arial" w:hAnsi="Arial" w:cs="Arial"/>
          <w:bCs/>
        </w:rPr>
        <w:t xml:space="preserve">que sugiere la recuperación de cartera de la ADRES y así garantizar el cubrimiento de los gastos </w:t>
      </w:r>
      <w:r w:rsidR="00CA3120">
        <w:rPr>
          <w:rFonts w:ascii="Arial" w:hAnsi="Arial" w:cs="Arial"/>
          <w:bCs/>
        </w:rPr>
        <w:t xml:space="preserve">por accidentes de tránsito </w:t>
      </w:r>
      <w:r w:rsidR="00CA3120" w:rsidRPr="00143DB9">
        <w:rPr>
          <w:rFonts w:ascii="Arial" w:hAnsi="Arial" w:cs="Arial"/>
          <w:bCs/>
        </w:rPr>
        <w:t>gener</w:t>
      </w:r>
      <w:r w:rsidR="00CA3120">
        <w:rPr>
          <w:rFonts w:ascii="Arial" w:hAnsi="Arial" w:cs="Arial"/>
          <w:bCs/>
        </w:rPr>
        <w:t>ados</w:t>
      </w:r>
      <w:r w:rsidRPr="00143DB9">
        <w:rPr>
          <w:rFonts w:ascii="Arial" w:hAnsi="Arial" w:cs="Arial"/>
          <w:bCs/>
        </w:rPr>
        <w:t xml:space="preserve"> por vehículos no identificados y/o asegurados. </w:t>
      </w:r>
    </w:p>
    <w:p w:rsidR="008C60AA" w:rsidRPr="00143DB9" w:rsidRDefault="008C60AA" w:rsidP="008C60AA">
      <w:pPr>
        <w:spacing w:before="240" w:after="240" w:line="276" w:lineRule="auto"/>
        <w:ind w:right="-11"/>
        <w:jc w:val="both"/>
        <w:rPr>
          <w:rFonts w:ascii="Arial" w:eastAsia="Calibri" w:hAnsi="Arial" w:cs="Arial"/>
        </w:rPr>
      </w:pPr>
      <w:r w:rsidRPr="00143DB9">
        <w:rPr>
          <w:rFonts w:ascii="Arial" w:eastAsia="Calibri" w:hAnsi="Arial" w:cs="Arial"/>
          <w:b/>
        </w:rPr>
        <w:t xml:space="preserve">ARTÍCULO 7. Vigencia. </w:t>
      </w:r>
      <w:r w:rsidRPr="00143DB9">
        <w:rPr>
          <w:rFonts w:ascii="Arial" w:eastAsia="Calibri" w:hAnsi="Arial" w:cs="Arial"/>
        </w:rPr>
        <w:t>Esta norma rige a partir de su promulgación y deroga todas aquellas que le sean contrarias.</w:t>
      </w:r>
    </w:p>
    <w:p w:rsidR="00B501C3" w:rsidRPr="00143DB9" w:rsidRDefault="008C60AA" w:rsidP="00B50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143DB9">
        <w:rPr>
          <w:rFonts w:ascii="Arial" w:hAnsi="Arial" w:cs="Arial"/>
          <w:b/>
          <w:bCs/>
        </w:rPr>
        <w:t>COMENTARIO:</w:t>
      </w:r>
      <w:r w:rsidRPr="00143DB9">
        <w:rPr>
          <w:rFonts w:ascii="Arial" w:hAnsi="Arial" w:cs="Arial"/>
          <w:bCs/>
        </w:rPr>
        <w:t xml:space="preserve"> </w:t>
      </w:r>
      <w:r w:rsidR="00A51954" w:rsidRPr="00143DB9">
        <w:rPr>
          <w:rFonts w:ascii="Arial" w:hAnsi="Arial" w:cs="Arial"/>
          <w:bCs/>
        </w:rPr>
        <w:t>Si bien, la iniciativa del proyecto de ley es loable</w:t>
      </w:r>
      <w:r w:rsidRPr="00143DB9">
        <w:rPr>
          <w:rFonts w:ascii="Arial" w:hAnsi="Arial" w:cs="Arial"/>
          <w:bCs/>
        </w:rPr>
        <w:t xml:space="preserve"> </w:t>
      </w:r>
      <w:r w:rsidR="00B501C3" w:rsidRPr="00143DB9">
        <w:rPr>
          <w:rFonts w:ascii="Arial" w:hAnsi="Arial" w:cs="Arial"/>
          <w:bCs/>
        </w:rPr>
        <w:t xml:space="preserve">toda vez que </w:t>
      </w:r>
      <w:r w:rsidR="00A51954" w:rsidRPr="00143DB9">
        <w:rPr>
          <w:rFonts w:ascii="Arial" w:hAnsi="Arial" w:cs="Arial"/>
          <w:bCs/>
        </w:rPr>
        <w:t>incentiva el pago oportuno del SOAT y apunta a la recuperación de cartera de la ADRES, es preciso analizar y tener presentes los aspectos anteriormente relacionados,</w:t>
      </w:r>
      <w:r w:rsidR="00006075" w:rsidRPr="00143DB9">
        <w:rPr>
          <w:rFonts w:ascii="Arial" w:hAnsi="Arial" w:cs="Arial"/>
          <w:bCs/>
        </w:rPr>
        <w:t xml:space="preserve"> por lo que reiteramos nuestra disposición para trabajar conjuntamente en alternativas efectivas y de alto impacto, con </w:t>
      </w:r>
      <w:r w:rsidR="00B501C3" w:rsidRPr="00143DB9">
        <w:rPr>
          <w:rFonts w:ascii="Arial" w:hAnsi="Arial" w:cs="Arial"/>
          <w:bCs/>
        </w:rPr>
        <w:t>miras a mejorar la seguridad vial del país y la sostenibilidad del sistema</w:t>
      </w:r>
      <w:r w:rsidR="00006075" w:rsidRPr="00143DB9">
        <w:rPr>
          <w:rFonts w:ascii="Arial" w:hAnsi="Arial" w:cs="Arial"/>
          <w:bCs/>
        </w:rPr>
        <w:t xml:space="preserve"> financiero y asegurador colombiano</w:t>
      </w:r>
      <w:r w:rsidR="00B501C3" w:rsidRPr="00143DB9">
        <w:rPr>
          <w:rFonts w:ascii="Arial" w:hAnsi="Arial" w:cs="Arial"/>
          <w:bCs/>
        </w:rPr>
        <w:t>.</w:t>
      </w:r>
    </w:p>
    <w:p w:rsidR="00EB4D09" w:rsidRPr="00143DB9" w:rsidRDefault="00EB4D09" w:rsidP="008C60AA">
      <w:pPr>
        <w:shd w:val="clear" w:color="auto" w:fill="FFFFFF"/>
        <w:spacing w:after="0" w:line="276" w:lineRule="auto"/>
        <w:jc w:val="both"/>
        <w:rPr>
          <w:rFonts w:ascii="Arial" w:hAnsi="Arial" w:cs="Arial"/>
          <w:iCs/>
          <w:lang w:eastAsia="es-CO"/>
        </w:rPr>
      </w:pPr>
    </w:p>
    <w:p w:rsidR="005B699B" w:rsidRPr="00143DB9" w:rsidRDefault="005B699B" w:rsidP="008C60AA">
      <w:pPr>
        <w:shd w:val="clear" w:color="auto" w:fill="FFFFFF"/>
        <w:spacing w:after="0" w:line="276" w:lineRule="auto"/>
        <w:jc w:val="both"/>
        <w:rPr>
          <w:rFonts w:ascii="Arial" w:hAnsi="Arial" w:cs="Arial"/>
          <w:iCs/>
          <w:lang w:eastAsia="es-CO"/>
        </w:rPr>
      </w:pPr>
      <w:r w:rsidRPr="00143DB9">
        <w:rPr>
          <w:rFonts w:ascii="Arial" w:hAnsi="Arial" w:cs="Arial"/>
          <w:iCs/>
          <w:lang w:eastAsia="es-CO"/>
        </w:rPr>
        <w:t>Cordialmente,</w:t>
      </w:r>
    </w:p>
    <w:p w:rsidR="005B699B" w:rsidRPr="00143DB9" w:rsidRDefault="005B699B" w:rsidP="008C60AA">
      <w:pPr>
        <w:shd w:val="clear" w:color="auto" w:fill="FFFFFF"/>
        <w:spacing w:after="0" w:line="276" w:lineRule="auto"/>
        <w:jc w:val="both"/>
        <w:rPr>
          <w:rFonts w:ascii="Arial" w:hAnsi="Arial" w:cs="Arial"/>
          <w:iCs/>
          <w:lang w:eastAsia="es-CO"/>
        </w:rPr>
      </w:pPr>
    </w:p>
    <w:p w:rsidR="005B699B" w:rsidRPr="00143DB9" w:rsidRDefault="005B699B" w:rsidP="008C60AA">
      <w:pPr>
        <w:shd w:val="clear" w:color="auto" w:fill="FFFFFF"/>
        <w:spacing w:after="0" w:line="276" w:lineRule="auto"/>
        <w:jc w:val="both"/>
        <w:rPr>
          <w:rFonts w:ascii="Arial" w:hAnsi="Arial" w:cs="Arial"/>
          <w:iCs/>
          <w:lang w:eastAsia="es-CO"/>
        </w:rPr>
      </w:pPr>
    </w:p>
    <w:p w:rsidR="00DF678B" w:rsidRPr="00143DB9" w:rsidRDefault="00DF678B" w:rsidP="008C60AA">
      <w:pPr>
        <w:shd w:val="clear" w:color="auto" w:fill="FFFFFF"/>
        <w:spacing w:after="0" w:line="276" w:lineRule="auto"/>
        <w:jc w:val="both"/>
        <w:rPr>
          <w:rFonts w:ascii="Arial" w:hAnsi="Arial" w:cs="Arial"/>
          <w:iCs/>
          <w:lang w:eastAsia="es-CO"/>
        </w:rPr>
      </w:pPr>
    </w:p>
    <w:p w:rsidR="00605237" w:rsidRPr="00143DB9" w:rsidRDefault="00DF678B" w:rsidP="008C60AA">
      <w:pPr>
        <w:spacing w:after="0" w:line="276" w:lineRule="auto"/>
        <w:contextualSpacing/>
        <w:jc w:val="both"/>
        <w:rPr>
          <w:rFonts w:ascii="Arial" w:hAnsi="Arial" w:cs="Arial"/>
          <w:iCs/>
          <w:lang w:eastAsia="es-CO"/>
        </w:rPr>
      </w:pPr>
      <w:r w:rsidRPr="00143DB9">
        <w:rPr>
          <w:rFonts w:ascii="Arial" w:hAnsi="Arial" w:cs="Arial"/>
          <w:iCs/>
          <w:lang w:eastAsia="es-CO"/>
        </w:rPr>
        <w:t>J</w:t>
      </w:r>
      <w:r w:rsidR="00006075" w:rsidRPr="00143DB9">
        <w:rPr>
          <w:rFonts w:ascii="Arial" w:hAnsi="Arial" w:cs="Arial"/>
          <w:iCs/>
          <w:lang w:eastAsia="es-CO"/>
        </w:rPr>
        <w:t>ULIANA RICO OSPINA</w:t>
      </w:r>
    </w:p>
    <w:p w:rsidR="00DF678B" w:rsidRPr="00143DB9" w:rsidRDefault="00DF678B" w:rsidP="008C60AA">
      <w:pPr>
        <w:spacing w:after="0" w:line="276" w:lineRule="auto"/>
        <w:contextualSpacing/>
        <w:jc w:val="both"/>
        <w:rPr>
          <w:rFonts w:ascii="Arial" w:hAnsi="Arial" w:cs="Arial"/>
          <w:iCs/>
          <w:lang w:eastAsia="es-CO"/>
        </w:rPr>
      </w:pPr>
      <w:r w:rsidRPr="00143DB9">
        <w:rPr>
          <w:rFonts w:ascii="Arial" w:hAnsi="Arial" w:cs="Arial"/>
          <w:iCs/>
          <w:lang w:eastAsia="es-CO"/>
        </w:rPr>
        <w:t xml:space="preserve">Directora </w:t>
      </w:r>
      <w:r w:rsidR="00006075" w:rsidRPr="00143DB9">
        <w:rPr>
          <w:rFonts w:ascii="Arial" w:hAnsi="Arial" w:cs="Arial"/>
          <w:iCs/>
          <w:lang w:eastAsia="es-CO"/>
        </w:rPr>
        <w:t xml:space="preserve">Ejecutiva </w:t>
      </w:r>
    </w:p>
    <w:p w:rsidR="00125877" w:rsidRPr="00143DB9" w:rsidRDefault="00125877" w:rsidP="008C60AA">
      <w:pPr>
        <w:spacing w:after="0" w:line="276" w:lineRule="auto"/>
        <w:contextualSpacing/>
        <w:jc w:val="both"/>
        <w:rPr>
          <w:rFonts w:ascii="Arial" w:hAnsi="Arial" w:cs="Arial"/>
          <w:iCs/>
          <w:lang w:eastAsia="es-CO"/>
        </w:rPr>
      </w:pPr>
    </w:p>
    <w:p w:rsidR="00125877" w:rsidRPr="00143DB9" w:rsidRDefault="00125877" w:rsidP="008C60AA">
      <w:pPr>
        <w:spacing w:after="0" w:line="276" w:lineRule="auto"/>
        <w:contextualSpacing/>
        <w:jc w:val="both"/>
        <w:rPr>
          <w:rFonts w:ascii="Arial" w:hAnsi="Arial" w:cs="Arial"/>
          <w:iCs/>
          <w:lang w:eastAsia="es-CO"/>
        </w:rPr>
      </w:pPr>
    </w:p>
    <w:p w:rsidR="00125877" w:rsidRPr="00143DB9" w:rsidRDefault="00125877" w:rsidP="008C60AA">
      <w:pPr>
        <w:spacing w:after="0" w:line="276" w:lineRule="auto"/>
        <w:contextualSpacing/>
        <w:jc w:val="both"/>
        <w:rPr>
          <w:rFonts w:ascii="Arial" w:hAnsi="Arial" w:cs="Arial"/>
          <w:iCs/>
          <w:lang w:eastAsia="es-CO"/>
        </w:rPr>
      </w:pPr>
    </w:p>
    <w:p w:rsidR="00125877" w:rsidRPr="00143DB9" w:rsidRDefault="00125877" w:rsidP="008C60AA">
      <w:pPr>
        <w:spacing w:after="0" w:line="276" w:lineRule="auto"/>
        <w:contextualSpacing/>
        <w:jc w:val="both"/>
        <w:rPr>
          <w:rFonts w:ascii="Arial" w:hAnsi="Arial" w:cs="Arial"/>
          <w:iCs/>
          <w:lang w:eastAsia="es-CO"/>
        </w:rPr>
      </w:pPr>
    </w:p>
    <w:p w:rsidR="00125877" w:rsidRPr="00143DB9" w:rsidRDefault="00125877" w:rsidP="008C60AA">
      <w:pPr>
        <w:spacing w:after="0" w:line="276" w:lineRule="auto"/>
        <w:contextualSpacing/>
        <w:jc w:val="both"/>
        <w:rPr>
          <w:rFonts w:ascii="Arial" w:hAnsi="Arial" w:cs="Arial"/>
          <w:iCs/>
          <w:lang w:eastAsia="es-CO"/>
        </w:rPr>
      </w:pPr>
    </w:p>
    <w:p w:rsidR="00125877" w:rsidRPr="00143DB9" w:rsidRDefault="00125877" w:rsidP="008C60A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sectPr w:rsidR="00125877" w:rsidRPr="00143DB9" w:rsidSect="00C72240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5F" w:rsidRDefault="00D3785F" w:rsidP="009417AA">
      <w:pPr>
        <w:spacing w:after="0" w:line="240" w:lineRule="auto"/>
      </w:pPr>
      <w:r>
        <w:separator/>
      </w:r>
    </w:p>
  </w:endnote>
  <w:endnote w:type="continuationSeparator" w:id="0">
    <w:p w:rsidR="00D3785F" w:rsidRDefault="00D3785F" w:rsidP="0094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5F" w:rsidRDefault="00D3785F" w:rsidP="009417AA">
      <w:pPr>
        <w:spacing w:after="0" w:line="240" w:lineRule="auto"/>
      </w:pPr>
      <w:r>
        <w:separator/>
      </w:r>
    </w:p>
  </w:footnote>
  <w:footnote w:type="continuationSeparator" w:id="0">
    <w:p w:rsidR="00D3785F" w:rsidRDefault="00D3785F" w:rsidP="0094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11" w:rsidRDefault="00E00711">
    <w:pPr>
      <w:pStyle w:val="Encabezado"/>
    </w:pPr>
  </w:p>
  <w:p w:rsidR="00E00711" w:rsidRDefault="00E00711">
    <w:pPr>
      <w:pStyle w:val="Encabezado"/>
    </w:pPr>
  </w:p>
  <w:p w:rsidR="00E00711" w:rsidRDefault="00E00711">
    <w:pPr>
      <w:pStyle w:val="Encabezado"/>
    </w:pPr>
  </w:p>
  <w:p w:rsidR="00E00711" w:rsidRDefault="00E00711">
    <w:pPr>
      <w:pStyle w:val="Encabezado"/>
    </w:pPr>
  </w:p>
  <w:p w:rsidR="00E00711" w:rsidRDefault="00E00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980"/>
    <w:multiLevelType w:val="multilevel"/>
    <w:tmpl w:val="AC748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5C44F5"/>
    <w:multiLevelType w:val="hybridMultilevel"/>
    <w:tmpl w:val="CFC8C4A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352"/>
    <w:multiLevelType w:val="hybridMultilevel"/>
    <w:tmpl w:val="1D92EFD8"/>
    <w:lvl w:ilvl="0" w:tplc="6D8AA310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443C"/>
    <w:multiLevelType w:val="hybridMultilevel"/>
    <w:tmpl w:val="53A42DAC"/>
    <w:lvl w:ilvl="0" w:tplc="81121E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6CDF"/>
    <w:multiLevelType w:val="hybridMultilevel"/>
    <w:tmpl w:val="7F102F66"/>
    <w:lvl w:ilvl="0" w:tplc="8CF28F28">
      <w:start w:val="1"/>
      <w:numFmt w:val="lowerLetter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5E7E67"/>
    <w:multiLevelType w:val="hybridMultilevel"/>
    <w:tmpl w:val="7A601B48"/>
    <w:lvl w:ilvl="0" w:tplc="6F44FEE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640B"/>
    <w:multiLevelType w:val="hybridMultilevel"/>
    <w:tmpl w:val="7F020A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7318"/>
    <w:multiLevelType w:val="hybridMultilevel"/>
    <w:tmpl w:val="DD243DC0"/>
    <w:lvl w:ilvl="0" w:tplc="520E47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A0025A"/>
    <w:multiLevelType w:val="hybridMultilevel"/>
    <w:tmpl w:val="F184E4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00CE3"/>
    <w:multiLevelType w:val="hybridMultilevel"/>
    <w:tmpl w:val="45C4EAAE"/>
    <w:lvl w:ilvl="0" w:tplc="DAAEC63C">
      <w:start w:val="1"/>
      <w:numFmt w:val="lowerLetter"/>
      <w:lvlText w:val="%1)"/>
      <w:lvlJc w:val="left"/>
      <w:pPr>
        <w:ind w:left="745" w:hanging="360"/>
      </w:pPr>
      <w:rPr>
        <w:rFonts w:ascii="Arial" w:eastAsia="Arial" w:hAnsi="Arial" w:cs="Arial" w:hint="default"/>
        <w:spacing w:val="-1"/>
        <w:w w:val="100"/>
        <w:sz w:val="28"/>
        <w:szCs w:val="28"/>
        <w:lang w:val="es-CO" w:eastAsia="es-CO" w:bidi="es-CO"/>
      </w:rPr>
    </w:lvl>
    <w:lvl w:ilvl="1" w:tplc="869EE238">
      <w:numFmt w:val="bullet"/>
      <w:lvlText w:val="•"/>
      <w:lvlJc w:val="left"/>
      <w:pPr>
        <w:ind w:left="1572" w:hanging="360"/>
      </w:pPr>
      <w:rPr>
        <w:rFonts w:hint="default"/>
        <w:lang w:val="es-CO" w:eastAsia="es-CO" w:bidi="es-CO"/>
      </w:rPr>
    </w:lvl>
    <w:lvl w:ilvl="2" w:tplc="3BE06CC4">
      <w:numFmt w:val="bullet"/>
      <w:lvlText w:val="•"/>
      <w:lvlJc w:val="left"/>
      <w:pPr>
        <w:ind w:left="2404" w:hanging="360"/>
      </w:pPr>
      <w:rPr>
        <w:rFonts w:hint="default"/>
        <w:lang w:val="es-CO" w:eastAsia="es-CO" w:bidi="es-CO"/>
      </w:rPr>
    </w:lvl>
    <w:lvl w:ilvl="3" w:tplc="F8A8F0F8">
      <w:numFmt w:val="bullet"/>
      <w:lvlText w:val="•"/>
      <w:lvlJc w:val="left"/>
      <w:pPr>
        <w:ind w:left="3236" w:hanging="360"/>
      </w:pPr>
      <w:rPr>
        <w:rFonts w:hint="default"/>
        <w:lang w:val="es-CO" w:eastAsia="es-CO" w:bidi="es-CO"/>
      </w:rPr>
    </w:lvl>
    <w:lvl w:ilvl="4" w:tplc="032AB266">
      <w:numFmt w:val="bullet"/>
      <w:lvlText w:val="•"/>
      <w:lvlJc w:val="left"/>
      <w:pPr>
        <w:ind w:left="4068" w:hanging="360"/>
      </w:pPr>
      <w:rPr>
        <w:rFonts w:hint="default"/>
        <w:lang w:val="es-CO" w:eastAsia="es-CO" w:bidi="es-CO"/>
      </w:rPr>
    </w:lvl>
    <w:lvl w:ilvl="5" w:tplc="8B5E2454">
      <w:numFmt w:val="bullet"/>
      <w:lvlText w:val="•"/>
      <w:lvlJc w:val="left"/>
      <w:pPr>
        <w:ind w:left="4900" w:hanging="360"/>
      </w:pPr>
      <w:rPr>
        <w:rFonts w:hint="default"/>
        <w:lang w:val="es-CO" w:eastAsia="es-CO" w:bidi="es-CO"/>
      </w:rPr>
    </w:lvl>
    <w:lvl w:ilvl="6" w:tplc="F6FCC5D0">
      <w:numFmt w:val="bullet"/>
      <w:lvlText w:val="•"/>
      <w:lvlJc w:val="left"/>
      <w:pPr>
        <w:ind w:left="5732" w:hanging="360"/>
      </w:pPr>
      <w:rPr>
        <w:rFonts w:hint="default"/>
        <w:lang w:val="es-CO" w:eastAsia="es-CO" w:bidi="es-CO"/>
      </w:rPr>
    </w:lvl>
    <w:lvl w:ilvl="7" w:tplc="34A4E6BA">
      <w:numFmt w:val="bullet"/>
      <w:lvlText w:val="•"/>
      <w:lvlJc w:val="left"/>
      <w:pPr>
        <w:ind w:left="6564" w:hanging="360"/>
      </w:pPr>
      <w:rPr>
        <w:rFonts w:hint="default"/>
        <w:lang w:val="es-CO" w:eastAsia="es-CO" w:bidi="es-CO"/>
      </w:rPr>
    </w:lvl>
    <w:lvl w:ilvl="8" w:tplc="07549350">
      <w:numFmt w:val="bullet"/>
      <w:lvlText w:val="•"/>
      <w:lvlJc w:val="left"/>
      <w:pPr>
        <w:ind w:left="7396" w:hanging="360"/>
      </w:pPr>
      <w:rPr>
        <w:rFonts w:hint="default"/>
        <w:lang w:val="es-CO" w:eastAsia="es-CO" w:bidi="es-CO"/>
      </w:rPr>
    </w:lvl>
  </w:abstractNum>
  <w:abstractNum w:abstractNumId="10" w15:restartNumberingAfterBreak="0">
    <w:nsid w:val="59DE6225"/>
    <w:multiLevelType w:val="hybridMultilevel"/>
    <w:tmpl w:val="20641A48"/>
    <w:lvl w:ilvl="0" w:tplc="44CE2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D73E9"/>
    <w:multiLevelType w:val="hybridMultilevel"/>
    <w:tmpl w:val="40CA0F8A"/>
    <w:lvl w:ilvl="0" w:tplc="81589D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C362F"/>
    <w:multiLevelType w:val="multilevel"/>
    <w:tmpl w:val="D9C624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076A14"/>
    <w:multiLevelType w:val="hybridMultilevel"/>
    <w:tmpl w:val="D936A158"/>
    <w:lvl w:ilvl="0" w:tplc="33EA1044">
      <w:start w:val="1"/>
      <w:numFmt w:val="lowerLetter"/>
      <w:lvlText w:val="%1)"/>
      <w:lvlJc w:val="left"/>
      <w:pPr>
        <w:ind w:left="82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CO" w:eastAsia="es-CO" w:bidi="es-CO"/>
      </w:rPr>
    </w:lvl>
    <w:lvl w:ilvl="1" w:tplc="98100AA4">
      <w:numFmt w:val="bullet"/>
      <w:lvlText w:val="•"/>
      <w:lvlJc w:val="left"/>
      <w:pPr>
        <w:ind w:left="1644" w:hanging="360"/>
      </w:pPr>
      <w:rPr>
        <w:rFonts w:hint="default"/>
        <w:lang w:val="es-CO" w:eastAsia="es-CO" w:bidi="es-CO"/>
      </w:rPr>
    </w:lvl>
    <w:lvl w:ilvl="2" w:tplc="70E43914">
      <w:numFmt w:val="bullet"/>
      <w:lvlText w:val="•"/>
      <w:lvlJc w:val="left"/>
      <w:pPr>
        <w:ind w:left="2468" w:hanging="360"/>
      </w:pPr>
      <w:rPr>
        <w:rFonts w:hint="default"/>
        <w:lang w:val="es-CO" w:eastAsia="es-CO" w:bidi="es-CO"/>
      </w:rPr>
    </w:lvl>
    <w:lvl w:ilvl="3" w:tplc="48044398">
      <w:numFmt w:val="bullet"/>
      <w:lvlText w:val="•"/>
      <w:lvlJc w:val="left"/>
      <w:pPr>
        <w:ind w:left="3292" w:hanging="360"/>
      </w:pPr>
      <w:rPr>
        <w:rFonts w:hint="default"/>
        <w:lang w:val="es-CO" w:eastAsia="es-CO" w:bidi="es-CO"/>
      </w:rPr>
    </w:lvl>
    <w:lvl w:ilvl="4" w:tplc="991669D4">
      <w:numFmt w:val="bullet"/>
      <w:lvlText w:val="•"/>
      <w:lvlJc w:val="left"/>
      <w:pPr>
        <w:ind w:left="4116" w:hanging="360"/>
      </w:pPr>
      <w:rPr>
        <w:rFonts w:hint="default"/>
        <w:lang w:val="es-CO" w:eastAsia="es-CO" w:bidi="es-CO"/>
      </w:rPr>
    </w:lvl>
    <w:lvl w:ilvl="5" w:tplc="5CCA275A">
      <w:numFmt w:val="bullet"/>
      <w:lvlText w:val="•"/>
      <w:lvlJc w:val="left"/>
      <w:pPr>
        <w:ind w:left="4940" w:hanging="360"/>
      </w:pPr>
      <w:rPr>
        <w:rFonts w:hint="default"/>
        <w:lang w:val="es-CO" w:eastAsia="es-CO" w:bidi="es-CO"/>
      </w:rPr>
    </w:lvl>
    <w:lvl w:ilvl="6" w:tplc="31EA2DB8">
      <w:numFmt w:val="bullet"/>
      <w:lvlText w:val="•"/>
      <w:lvlJc w:val="left"/>
      <w:pPr>
        <w:ind w:left="5764" w:hanging="360"/>
      </w:pPr>
      <w:rPr>
        <w:rFonts w:hint="default"/>
        <w:lang w:val="es-CO" w:eastAsia="es-CO" w:bidi="es-CO"/>
      </w:rPr>
    </w:lvl>
    <w:lvl w:ilvl="7" w:tplc="6E4A661A">
      <w:numFmt w:val="bullet"/>
      <w:lvlText w:val="•"/>
      <w:lvlJc w:val="left"/>
      <w:pPr>
        <w:ind w:left="6588" w:hanging="360"/>
      </w:pPr>
      <w:rPr>
        <w:rFonts w:hint="default"/>
        <w:lang w:val="es-CO" w:eastAsia="es-CO" w:bidi="es-CO"/>
      </w:rPr>
    </w:lvl>
    <w:lvl w:ilvl="8" w:tplc="6E54032E">
      <w:numFmt w:val="bullet"/>
      <w:lvlText w:val="•"/>
      <w:lvlJc w:val="left"/>
      <w:pPr>
        <w:ind w:left="7412" w:hanging="360"/>
      </w:pPr>
      <w:rPr>
        <w:rFonts w:hint="default"/>
        <w:lang w:val="es-CO" w:eastAsia="es-CO" w:bidi="es-CO"/>
      </w:rPr>
    </w:lvl>
  </w:abstractNum>
  <w:abstractNum w:abstractNumId="14" w15:restartNumberingAfterBreak="0">
    <w:nsid w:val="7D5446D0"/>
    <w:multiLevelType w:val="hybridMultilevel"/>
    <w:tmpl w:val="D4CADFEA"/>
    <w:lvl w:ilvl="0" w:tplc="409AD040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3"/>
  </w:num>
  <w:num w:numId="14">
    <w:abstractNumId w:val="10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17"/>
    <w:rsid w:val="00006075"/>
    <w:rsid w:val="00006F16"/>
    <w:rsid w:val="00007588"/>
    <w:rsid w:val="00013EB6"/>
    <w:rsid w:val="00057483"/>
    <w:rsid w:val="00072106"/>
    <w:rsid w:val="000B2101"/>
    <w:rsid w:val="0011219D"/>
    <w:rsid w:val="0012508C"/>
    <w:rsid w:val="00125877"/>
    <w:rsid w:val="00133C52"/>
    <w:rsid w:val="00143DB9"/>
    <w:rsid w:val="00144641"/>
    <w:rsid w:val="001637C2"/>
    <w:rsid w:val="00187B5C"/>
    <w:rsid w:val="001A4828"/>
    <w:rsid w:val="001B1482"/>
    <w:rsid w:val="001C563C"/>
    <w:rsid w:val="001D50DE"/>
    <w:rsid w:val="001D528C"/>
    <w:rsid w:val="00216217"/>
    <w:rsid w:val="00243A41"/>
    <w:rsid w:val="0024761B"/>
    <w:rsid w:val="0025336C"/>
    <w:rsid w:val="00264345"/>
    <w:rsid w:val="00272EF4"/>
    <w:rsid w:val="002844D8"/>
    <w:rsid w:val="002914F3"/>
    <w:rsid w:val="002B114D"/>
    <w:rsid w:val="002B53C5"/>
    <w:rsid w:val="002E3E7C"/>
    <w:rsid w:val="002E4A6E"/>
    <w:rsid w:val="002E6FA4"/>
    <w:rsid w:val="0030198D"/>
    <w:rsid w:val="00302BC5"/>
    <w:rsid w:val="003109BA"/>
    <w:rsid w:val="003221FD"/>
    <w:rsid w:val="00361FFD"/>
    <w:rsid w:val="00386953"/>
    <w:rsid w:val="003901A1"/>
    <w:rsid w:val="003E1F0D"/>
    <w:rsid w:val="003E3244"/>
    <w:rsid w:val="003F5DBA"/>
    <w:rsid w:val="00401E59"/>
    <w:rsid w:val="00411A9E"/>
    <w:rsid w:val="00421579"/>
    <w:rsid w:val="00443B1C"/>
    <w:rsid w:val="00444DB4"/>
    <w:rsid w:val="00474A8A"/>
    <w:rsid w:val="0048229B"/>
    <w:rsid w:val="004A3161"/>
    <w:rsid w:val="004A3D9F"/>
    <w:rsid w:val="004A42F5"/>
    <w:rsid w:val="004B7ED8"/>
    <w:rsid w:val="004E120B"/>
    <w:rsid w:val="00505060"/>
    <w:rsid w:val="0055171F"/>
    <w:rsid w:val="00565FCF"/>
    <w:rsid w:val="005B0D60"/>
    <w:rsid w:val="005B699B"/>
    <w:rsid w:val="005C3D45"/>
    <w:rsid w:val="005F2B9A"/>
    <w:rsid w:val="00605237"/>
    <w:rsid w:val="00605A19"/>
    <w:rsid w:val="00610F10"/>
    <w:rsid w:val="006161AC"/>
    <w:rsid w:val="00625027"/>
    <w:rsid w:val="006329AB"/>
    <w:rsid w:val="00654140"/>
    <w:rsid w:val="00675D9B"/>
    <w:rsid w:val="00680A59"/>
    <w:rsid w:val="006B70D4"/>
    <w:rsid w:val="007305F3"/>
    <w:rsid w:val="00790774"/>
    <w:rsid w:val="007A58BB"/>
    <w:rsid w:val="007C0519"/>
    <w:rsid w:val="008126A2"/>
    <w:rsid w:val="00813798"/>
    <w:rsid w:val="008153D0"/>
    <w:rsid w:val="008239EE"/>
    <w:rsid w:val="00825B2A"/>
    <w:rsid w:val="00844AA4"/>
    <w:rsid w:val="008455B6"/>
    <w:rsid w:val="008B79CF"/>
    <w:rsid w:val="008C60AA"/>
    <w:rsid w:val="008D22F5"/>
    <w:rsid w:val="008D3037"/>
    <w:rsid w:val="008E0C89"/>
    <w:rsid w:val="008F6D04"/>
    <w:rsid w:val="009122C5"/>
    <w:rsid w:val="009417AA"/>
    <w:rsid w:val="009B5C4D"/>
    <w:rsid w:val="009B615B"/>
    <w:rsid w:val="009D0E8D"/>
    <w:rsid w:val="00A05A9C"/>
    <w:rsid w:val="00A073B7"/>
    <w:rsid w:val="00A36718"/>
    <w:rsid w:val="00A51954"/>
    <w:rsid w:val="00A73E5E"/>
    <w:rsid w:val="00AD0EB5"/>
    <w:rsid w:val="00B05227"/>
    <w:rsid w:val="00B10BB9"/>
    <w:rsid w:val="00B501C3"/>
    <w:rsid w:val="00B53814"/>
    <w:rsid w:val="00B7262B"/>
    <w:rsid w:val="00C1212D"/>
    <w:rsid w:val="00C33294"/>
    <w:rsid w:val="00C67F37"/>
    <w:rsid w:val="00C72240"/>
    <w:rsid w:val="00C75238"/>
    <w:rsid w:val="00CA3120"/>
    <w:rsid w:val="00D030F4"/>
    <w:rsid w:val="00D3785F"/>
    <w:rsid w:val="00D41053"/>
    <w:rsid w:val="00D47664"/>
    <w:rsid w:val="00DB482F"/>
    <w:rsid w:val="00DC2C8C"/>
    <w:rsid w:val="00DD3C97"/>
    <w:rsid w:val="00DF678B"/>
    <w:rsid w:val="00E00711"/>
    <w:rsid w:val="00E03338"/>
    <w:rsid w:val="00E2538D"/>
    <w:rsid w:val="00E30CA0"/>
    <w:rsid w:val="00E328BC"/>
    <w:rsid w:val="00E6494C"/>
    <w:rsid w:val="00E72116"/>
    <w:rsid w:val="00E957CD"/>
    <w:rsid w:val="00E958A9"/>
    <w:rsid w:val="00EA4C17"/>
    <w:rsid w:val="00EB209A"/>
    <w:rsid w:val="00EB4D09"/>
    <w:rsid w:val="00ED4D7D"/>
    <w:rsid w:val="00ED7214"/>
    <w:rsid w:val="00F1620C"/>
    <w:rsid w:val="00F260CA"/>
    <w:rsid w:val="00F76D5A"/>
    <w:rsid w:val="00F92EFE"/>
    <w:rsid w:val="00FA556E"/>
    <w:rsid w:val="00FA5AF7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01CFF"/>
  <w15:chartTrackingRefBased/>
  <w15:docId w15:val="{82F7C618-1D98-4347-BC82-4F1F4FD7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eración"/>
    <w:basedOn w:val="Normal"/>
    <w:link w:val="PrrafodelistaCar"/>
    <w:uiPriority w:val="1"/>
    <w:qFormat/>
    <w:rsid w:val="00DD3C9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61AC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61AC"/>
    <w:rPr>
      <w:rFonts w:ascii="Arial" w:hAnsi="Arial" w:cs="Arial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6161AC"/>
    <w:pPr>
      <w:spacing w:after="0" w:line="240" w:lineRule="auto"/>
    </w:pPr>
    <w:rPr>
      <w:rFonts w:ascii="Arial" w:hAnsi="Arial" w:cs="Arial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24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7AA"/>
  </w:style>
  <w:style w:type="paragraph" w:styleId="Piedepgina">
    <w:name w:val="footer"/>
    <w:basedOn w:val="Normal"/>
    <w:link w:val="PiedepginaCar"/>
    <w:uiPriority w:val="99"/>
    <w:unhideWhenUsed/>
    <w:rsid w:val="0094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7AA"/>
  </w:style>
  <w:style w:type="character" w:customStyle="1" w:styleId="SinespaciadoCar">
    <w:name w:val="Sin espaciado Car"/>
    <w:basedOn w:val="Fuentedeprrafopredeter"/>
    <w:link w:val="Sinespaciado"/>
    <w:uiPriority w:val="1"/>
    <w:rsid w:val="008126A2"/>
    <w:rPr>
      <w:rFonts w:ascii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B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umeración Car"/>
    <w:link w:val="Prrafodelista"/>
    <w:uiPriority w:val="34"/>
    <w:locked/>
    <w:rsid w:val="00072106"/>
  </w:style>
  <w:style w:type="paragraph" w:styleId="Textoindependiente">
    <w:name w:val="Body Text"/>
    <w:basedOn w:val="Normal"/>
    <w:link w:val="TextoindependienteCar"/>
    <w:uiPriority w:val="1"/>
    <w:qFormat/>
    <w:rsid w:val="00444D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DB4"/>
    <w:rPr>
      <w:rFonts w:ascii="Arial" w:eastAsia="Arial" w:hAnsi="Arial" w:cs="Arial"/>
      <w:sz w:val="28"/>
      <w:szCs w:val="28"/>
      <w:lang w:eastAsia="es-CO" w:bidi="es-CO"/>
    </w:rPr>
  </w:style>
  <w:style w:type="character" w:styleId="Hipervnculo">
    <w:name w:val="Hyperlink"/>
    <w:basedOn w:val="Fuentedeprrafopredeter"/>
    <w:uiPriority w:val="99"/>
    <w:unhideWhenUsed/>
    <w:rsid w:val="0084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motos.com/images/archivos/Asomoco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6DAC-DB8D-4C86-84D5-BF2EAB0A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1382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Juliana Rico Ospina</dc:creator>
  <cp:keywords/>
  <dc:description/>
  <cp:lastModifiedBy>Giovanny Sandoval Diaz</cp:lastModifiedBy>
  <cp:revision>9</cp:revision>
  <cp:lastPrinted>2018-10-22T21:16:00Z</cp:lastPrinted>
  <dcterms:created xsi:type="dcterms:W3CDTF">2020-04-13T21:38:00Z</dcterms:created>
  <dcterms:modified xsi:type="dcterms:W3CDTF">2020-05-14T15:32:00Z</dcterms:modified>
</cp:coreProperties>
</file>